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DF" w:rsidRDefault="007841D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41DF" w:rsidRDefault="007841DF">
      <w:pPr>
        <w:pStyle w:val="ConsPlusNormal"/>
        <w:jc w:val="both"/>
        <w:outlineLvl w:val="0"/>
      </w:pPr>
    </w:p>
    <w:p w:rsidR="007841DF" w:rsidRDefault="007841DF">
      <w:pPr>
        <w:pStyle w:val="ConsPlusNormal"/>
        <w:outlineLvl w:val="0"/>
      </w:pPr>
      <w:r>
        <w:t>Зарегистрировано в Минюсте России 14 октября 2021 г. N 65426</w:t>
      </w:r>
    </w:p>
    <w:p w:rsidR="007841DF" w:rsidRDefault="00784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Title"/>
        <w:jc w:val="center"/>
      </w:pPr>
      <w:r>
        <w:t>МИНИСТЕРСТВО ЗДРАВООХРАНЕНИЯ РОССИЙСКОЙ ФЕДЕРАЦИИ</w:t>
      </w:r>
    </w:p>
    <w:p w:rsidR="007841DF" w:rsidRDefault="007841DF">
      <w:pPr>
        <w:pStyle w:val="ConsPlusTitle"/>
        <w:jc w:val="center"/>
      </w:pPr>
    </w:p>
    <w:p w:rsidR="007841DF" w:rsidRDefault="007841DF">
      <w:pPr>
        <w:pStyle w:val="ConsPlusTitle"/>
        <w:jc w:val="center"/>
      </w:pPr>
      <w:r>
        <w:t>ПРИКАЗ</w:t>
      </w:r>
    </w:p>
    <w:p w:rsidR="007841DF" w:rsidRDefault="007841DF">
      <w:pPr>
        <w:pStyle w:val="ConsPlusTitle"/>
        <w:jc w:val="center"/>
      </w:pPr>
      <w:r>
        <w:t>от 10 сентября 2021 г. N 920н</w:t>
      </w:r>
    </w:p>
    <w:p w:rsidR="007841DF" w:rsidRDefault="007841DF">
      <w:pPr>
        <w:pStyle w:val="ConsPlusTitle"/>
        <w:jc w:val="center"/>
      </w:pPr>
    </w:p>
    <w:p w:rsidR="007841DF" w:rsidRDefault="007841DF">
      <w:pPr>
        <w:pStyle w:val="ConsPlusTitle"/>
        <w:jc w:val="center"/>
      </w:pPr>
      <w:r>
        <w:t>ОБ УТВЕРЖДЕНИИ СТАНДАРТА</w:t>
      </w:r>
    </w:p>
    <w:p w:rsidR="007841DF" w:rsidRDefault="007841DF">
      <w:pPr>
        <w:pStyle w:val="ConsPlusTitle"/>
        <w:jc w:val="center"/>
      </w:pPr>
      <w:proofErr w:type="gramStart"/>
      <w:r>
        <w:t>МЕДИЦИНСКОЙ ПОМОЩИ ВЗРОСЛЫМ ПРИ ОЖОГАХ ГЛАЗ (ДИАГНОСТИКА,</w:t>
      </w:r>
      <w:proofErr w:type="gramEnd"/>
    </w:p>
    <w:p w:rsidR="007841DF" w:rsidRDefault="007841DF">
      <w:pPr>
        <w:pStyle w:val="ConsPlusTitle"/>
        <w:jc w:val="center"/>
      </w:pPr>
      <w:proofErr w:type="gramStart"/>
      <w:r>
        <w:t>ЛЕЧЕНИЕ И ДИСПАНСЕРНОЕ НАБЛЮДЕНИЕ)</w:t>
      </w:r>
      <w:proofErr w:type="gramEnd"/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2021, N 27, ст. 5159)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7841DF" w:rsidRDefault="007841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стандарт</w:t>
        </w:r>
      </w:hyperlink>
      <w:r>
        <w:t xml:space="preserve"> медицинской помощи взрослым при ожогах глаз (диагностика, лечение и диспансерное наблюдение) согласно приложению.</w:t>
      </w:r>
    </w:p>
    <w:p w:rsidR="007841DF" w:rsidRDefault="007841D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2012 г. N 1679н "Об утверждении стандарта первичной медико-санитарной помощи при химических, термических и термохимических ожогах глаза и его придаточного аппарата I степени" (зарегистрирован Министерством юстиции Российской Федерации 29 марта 2013 г., регистрационный N 27927).</w:t>
      </w: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right"/>
      </w:pPr>
      <w:r>
        <w:t>Министр</w:t>
      </w:r>
    </w:p>
    <w:p w:rsidR="007841DF" w:rsidRDefault="007841DF">
      <w:pPr>
        <w:pStyle w:val="ConsPlusNormal"/>
        <w:jc w:val="right"/>
      </w:pPr>
      <w:r>
        <w:t>М.А.МУРАШКО</w:t>
      </w: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right"/>
        <w:outlineLvl w:val="0"/>
      </w:pPr>
      <w:r>
        <w:t>Приложение</w:t>
      </w:r>
    </w:p>
    <w:p w:rsidR="007841DF" w:rsidRDefault="007841DF">
      <w:pPr>
        <w:pStyle w:val="ConsPlusNormal"/>
        <w:jc w:val="right"/>
      </w:pPr>
      <w:r>
        <w:t>к приказу Министерства здравоохранения</w:t>
      </w:r>
    </w:p>
    <w:p w:rsidR="007841DF" w:rsidRDefault="007841DF">
      <w:pPr>
        <w:pStyle w:val="ConsPlusNormal"/>
        <w:jc w:val="right"/>
      </w:pPr>
      <w:r>
        <w:t>Российской Федерации</w:t>
      </w:r>
    </w:p>
    <w:p w:rsidR="007841DF" w:rsidRDefault="007841DF">
      <w:pPr>
        <w:pStyle w:val="ConsPlusNormal"/>
        <w:jc w:val="right"/>
      </w:pPr>
      <w:r>
        <w:t>от 10 сентября 2021 г. N 920н</w:t>
      </w: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Title"/>
        <w:jc w:val="center"/>
      </w:pPr>
      <w:bookmarkStart w:id="0" w:name="P29"/>
      <w:bookmarkEnd w:id="0"/>
      <w:r>
        <w:t>СТАНДАРТ</w:t>
      </w:r>
    </w:p>
    <w:p w:rsidR="007841DF" w:rsidRDefault="007841DF">
      <w:pPr>
        <w:pStyle w:val="ConsPlusTitle"/>
        <w:jc w:val="center"/>
      </w:pPr>
      <w:proofErr w:type="gramStart"/>
      <w:r>
        <w:t>МЕДИЦИНСКОЙ ПОМОЩИ ВЗРОСЛЫМ ПРИ ОЖОГАХ ГЛАЗ (ДИАГНОСТИКА,</w:t>
      </w:r>
      <w:proofErr w:type="gramEnd"/>
    </w:p>
    <w:p w:rsidR="007841DF" w:rsidRDefault="007841DF">
      <w:pPr>
        <w:pStyle w:val="ConsPlusTitle"/>
        <w:jc w:val="center"/>
      </w:pPr>
      <w:proofErr w:type="gramStart"/>
      <w:r>
        <w:t>ЛЕЧЕНИЕ И ДИСПАНСЕРНОЕ НАБЛЮДЕНИЕ)</w:t>
      </w:r>
      <w:proofErr w:type="gramEnd"/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both"/>
      </w:pPr>
      <w:r>
        <w:t>Возрастная категория пациента: взрослые</w:t>
      </w:r>
    </w:p>
    <w:p w:rsidR="007841DF" w:rsidRDefault="007841DF">
      <w:pPr>
        <w:pStyle w:val="ConsPlusNormal"/>
        <w:spacing w:before="220"/>
        <w:jc w:val="both"/>
      </w:pPr>
      <w:r>
        <w:t>Пол пациента: любой</w:t>
      </w:r>
    </w:p>
    <w:p w:rsidR="007841DF" w:rsidRDefault="007841DF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помощь, первичная медико-санитарная помощь</w:t>
      </w:r>
    </w:p>
    <w:p w:rsidR="007841DF" w:rsidRDefault="007841DF">
      <w:pPr>
        <w:pStyle w:val="ConsPlusNormal"/>
        <w:spacing w:before="220"/>
        <w:jc w:val="both"/>
      </w:pPr>
      <w:r>
        <w:t>Условия оказания медицинской помощи: стационарно, амбулаторно</w:t>
      </w:r>
    </w:p>
    <w:p w:rsidR="007841DF" w:rsidRDefault="007841DF">
      <w:pPr>
        <w:pStyle w:val="ConsPlusNormal"/>
        <w:spacing w:before="220"/>
        <w:jc w:val="both"/>
      </w:pPr>
      <w:r>
        <w:lastRenderedPageBreak/>
        <w:t>Форма оказания медицинской помощи: плановая, неотложная</w:t>
      </w:r>
    </w:p>
    <w:p w:rsidR="007841DF" w:rsidRDefault="007841DF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7841DF" w:rsidRDefault="007841DF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7841DF" w:rsidRDefault="007841DF">
      <w:pPr>
        <w:pStyle w:val="ConsPlusNormal"/>
        <w:spacing w:before="220"/>
        <w:jc w:val="both"/>
      </w:pPr>
      <w:r>
        <w:t>Осложнения: вне зависимости</w:t>
      </w:r>
    </w:p>
    <w:p w:rsidR="007841DF" w:rsidRDefault="007841DF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7841DF" w:rsidRDefault="007841DF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9">
        <w:r>
          <w:rPr>
            <w:color w:val="0000FF"/>
          </w:rPr>
          <w:t>МКБ X</w:t>
        </w:r>
      </w:hyperlink>
      <w:r>
        <w:t xml:space="preserve"> </w:t>
      </w:r>
      <w:hyperlink w:anchor="P443">
        <w:r>
          <w:rPr>
            <w:color w:val="0000FF"/>
          </w:rPr>
          <w:t>&lt;1&gt;</w:t>
        </w:r>
      </w:hyperlink>
      <w:r>
        <w:t>):</w:t>
      </w:r>
    </w:p>
    <w:p w:rsidR="007841DF" w:rsidRDefault="007841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7841D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841DF" w:rsidRDefault="007841DF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T26</w:t>
              </w:r>
            </w:hyperlink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7841DF" w:rsidRDefault="007841DF">
            <w:pPr>
              <w:pStyle w:val="ConsPlusNormal"/>
              <w:jc w:val="both"/>
            </w:pPr>
            <w:r>
              <w:t>Термические и химические ожоги, ограниченные областью глаза и его придаточного аппарата</w:t>
            </w:r>
          </w:p>
        </w:tc>
      </w:tr>
    </w:tbl>
    <w:p w:rsidR="007841DF" w:rsidRDefault="007841DF">
      <w:pPr>
        <w:pStyle w:val="ConsPlusNormal"/>
        <w:jc w:val="both"/>
      </w:pPr>
    </w:p>
    <w:p w:rsidR="007841DF" w:rsidRDefault="007841DF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09"/>
        <w:gridCol w:w="1614"/>
        <w:gridCol w:w="1615"/>
      </w:tblGrid>
      <w:tr w:rsidR="007841DF">
        <w:tc>
          <w:tcPr>
            <w:tcW w:w="9069" w:type="dxa"/>
            <w:gridSpan w:val="4"/>
          </w:tcPr>
          <w:p w:rsidR="007841DF" w:rsidRDefault="007841DF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841DF">
        <w:tc>
          <w:tcPr>
            <w:tcW w:w="1531" w:type="dxa"/>
          </w:tcPr>
          <w:p w:rsidR="007841DF" w:rsidRDefault="007841D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7841DF" w:rsidRDefault="007841D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14" w:type="dxa"/>
          </w:tcPr>
          <w:p w:rsidR="007841DF" w:rsidRDefault="007841DF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44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15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</w:tbl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09"/>
        <w:gridCol w:w="1614"/>
        <w:gridCol w:w="1615"/>
      </w:tblGrid>
      <w:tr w:rsidR="007841DF">
        <w:tc>
          <w:tcPr>
            <w:tcW w:w="9069" w:type="dxa"/>
            <w:gridSpan w:val="4"/>
          </w:tcPr>
          <w:p w:rsidR="007841DF" w:rsidRDefault="007841DF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7841DF">
        <w:tc>
          <w:tcPr>
            <w:tcW w:w="1531" w:type="dxa"/>
          </w:tcPr>
          <w:p w:rsidR="007841DF" w:rsidRDefault="007841D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7841DF" w:rsidRDefault="007841D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14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15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2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Офтальмотонометрия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3">
              <w:r>
                <w:rPr>
                  <w:color w:val="0000FF"/>
                </w:rPr>
                <w:t>A02.26.018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Флюоресцеиновая инстилляционная проба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</w:tbl>
    <w:p w:rsidR="007841DF" w:rsidRDefault="007841DF">
      <w:pPr>
        <w:pStyle w:val="ConsPlusNormal"/>
        <w:jc w:val="both"/>
      </w:pPr>
    </w:p>
    <w:p w:rsidR="007841DF" w:rsidRDefault="007841DF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09"/>
        <w:gridCol w:w="1614"/>
        <w:gridCol w:w="1615"/>
      </w:tblGrid>
      <w:tr w:rsidR="007841DF">
        <w:tc>
          <w:tcPr>
            <w:tcW w:w="9069" w:type="dxa"/>
            <w:gridSpan w:val="4"/>
          </w:tcPr>
          <w:p w:rsidR="007841DF" w:rsidRDefault="007841DF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841DF">
        <w:tc>
          <w:tcPr>
            <w:tcW w:w="1531" w:type="dxa"/>
          </w:tcPr>
          <w:p w:rsidR="007841DF" w:rsidRDefault="007841D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7841DF" w:rsidRDefault="007841D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14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15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4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5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6">
              <w:r>
                <w:rPr>
                  <w:color w:val="0000FF"/>
                </w:rPr>
                <w:t>B04.029.001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5</w:t>
            </w:r>
          </w:p>
        </w:tc>
      </w:tr>
    </w:tbl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09"/>
        <w:gridCol w:w="1614"/>
        <w:gridCol w:w="1615"/>
      </w:tblGrid>
      <w:tr w:rsidR="007841DF">
        <w:tc>
          <w:tcPr>
            <w:tcW w:w="9069" w:type="dxa"/>
            <w:gridSpan w:val="4"/>
          </w:tcPr>
          <w:p w:rsidR="007841DF" w:rsidRDefault="007841DF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7841DF">
        <w:tc>
          <w:tcPr>
            <w:tcW w:w="1531" w:type="dxa"/>
          </w:tcPr>
          <w:p w:rsidR="007841DF" w:rsidRDefault="007841D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7841DF" w:rsidRDefault="007841D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14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15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7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Офтальмотонометрия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5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8">
              <w:r>
                <w:rPr>
                  <w:color w:val="0000FF"/>
                </w:rPr>
                <w:t>A02.26.018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Флюоресцеиновая инстилляционная проба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19">
              <w:r>
                <w:rPr>
                  <w:color w:val="0000FF"/>
                </w:rPr>
                <w:t>A02.26.020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Тест Ширмера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0">
              <w:r>
                <w:rPr>
                  <w:color w:val="0000FF"/>
                </w:rPr>
                <w:t>A03.26.019.001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3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1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2">
              <w:r>
                <w:rPr>
                  <w:color w:val="0000FF"/>
                </w:rPr>
                <w:t>A04.26.007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3">
              <w:r>
                <w:rPr>
                  <w:color w:val="0000FF"/>
                </w:rPr>
                <w:t>A05.26.001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Электроретинография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4">
              <w:r>
                <w:rPr>
                  <w:color w:val="0000FF"/>
                </w:rPr>
                <w:t>A05.26.003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</w:tbl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09"/>
        <w:gridCol w:w="1614"/>
        <w:gridCol w:w="1615"/>
      </w:tblGrid>
      <w:tr w:rsidR="007841DF">
        <w:tc>
          <w:tcPr>
            <w:tcW w:w="9069" w:type="dxa"/>
            <w:gridSpan w:val="4"/>
          </w:tcPr>
          <w:p w:rsidR="007841DF" w:rsidRDefault="007841DF">
            <w:pPr>
              <w:pStyle w:val="ConsPlusNormal"/>
              <w:outlineLvl w:val="2"/>
            </w:pPr>
            <w: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7841DF">
        <w:tc>
          <w:tcPr>
            <w:tcW w:w="1531" w:type="dxa"/>
          </w:tcPr>
          <w:p w:rsidR="007841DF" w:rsidRDefault="007841D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7841DF" w:rsidRDefault="007841D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14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15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5">
              <w:r>
                <w:rPr>
                  <w:color w:val="0000FF"/>
                </w:rPr>
                <w:t>A16.01.003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Некрэктомия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2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6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Пластика раны местными тканями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2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7">
              <w:r>
                <w:rPr>
                  <w:color w:val="0000FF"/>
                </w:rPr>
                <w:t>A16.01.010.005</w:t>
              </w:r>
            </w:hyperlink>
          </w:p>
        </w:tc>
        <w:tc>
          <w:tcPr>
            <w:tcW w:w="4309" w:type="dxa"/>
            <w:vAlign w:val="bottom"/>
          </w:tcPr>
          <w:p w:rsidR="007841DF" w:rsidRDefault="007841DF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8">
              <w:r>
                <w:rPr>
                  <w:color w:val="0000FF"/>
                </w:rPr>
                <w:t>A16.26.012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Блефаротомия, кантотомия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29">
              <w:r>
                <w:rPr>
                  <w:color w:val="0000FF"/>
                </w:rPr>
                <w:t>A16.26.024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Блефарорафия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2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30">
              <w:r>
                <w:rPr>
                  <w:color w:val="0000FF"/>
                </w:rPr>
                <w:t>A16.26.041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Пластика конъюнктивальной полости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31">
              <w:r>
                <w:rPr>
                  <w:color w:val="0000FF"/>
                </w:rPr>
                <w:t>A16.26.049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Кератопластика (трансплантация роговицы)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32">
              <w:r>
                <w:rPr>
                  <w:color w:val="0000FF"/>
                </w:rPr>
                <w:t>A16.26.049.004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33">
              <w:r>
                <w:rPr>
                  <w:color w:val="0000FF"/>
                </w:rPr>
                <w:t>A16.26.049.008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Кератопластика сквозная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34">
              <w:r>
                <w:rPr>
                  <w:color w:val="0000FF"/>
                </w:rPr>
                <w:t>A16.26.050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35">
              <w:r>
                <w:rPr>
                  <w:color w:val="0000FF"/>
                </w:rPr>
                <w:t>A16.26.111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 xml:space="preserve">Пластика века (блефаропластика) </w:t>
            </w:r>
            <w:proofErr w:type="gramStart"/>
            <w:r>
              <w:t>без</w:t>
            </w:r>
            <w:proofErr w:type="gram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 пересадкой тканей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</w:tbl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309"/>
        <w:gridCol w:w="1614"/>
        <w:gridCol w:w="1615"/>
      </w:tblGrid>
      <w:tr w:rsidR="007841DF">
        <w:tc>
          <w:tcPr>
            <w:tcW w:w="9069" w:type="dxa"/>
            <w:gridSpan w:val="4"/>
          </w:tcPr>
          <w:p w:rsidR="007841DF" w:rsidRDefault="007841DF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7841DF">
        <w:tc>
          <w:tcPr>
            <w:tcW w:w="1531" w:type="dxa"/>
          </w:tcPr>
          <w:p w:rsidR="007841DF" w:rsidRDefault="007841D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09" w:type="dxa"/>
          </w:tcPr>
          <w:p w:rsidR="007841DF" w:rsidRDefault="007841D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614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15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841DF">
        <w:tc>
          <w:tcPr>
            <w:tcW w:w="1531" w:type="dxa"/>
            <w:vAlign w:val="center"/>
          </w:tcPr>
          <w:p w:rsidR="007841DF" w:rsidRDefault="007841DF">
            <w:pPr>
              <w:pStyle w:val="ConsPlusNormal"/>
            </w:pPr>
            <w:hyperlink r:id="rId36">
              <w:r>
                <w:rPr>
                  <w:color w:val="0000FF"/>
                </w:rPr>
                <w:t>A21.26.019</w:t>
              </w:r>
            </w:hyperlink>
          </w:p>
        </w:tc>
        <w:tc>
          <w:tcPr>
            <w:tcW w:w="4309" w:type="dxa"/>
            <w:vAlign w:val="center"/>
          </w:tcPr>
          <w:p w:rsidR="007841DF" w:rsidRDefault="007841DF">
            <w:pPr>
              <w:pStyle w:val="ConsPlusNormal"/>
            </w:pPr>
            <w:r>
              <w:t>Промывание конъюнктивной полости</w:t>
            </w:r>
          </w:p>
        </w:tc>
        <w:tc>
          <w:tcPr>
            <w:tcW w:w="1614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615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</w:t>
            </w:r>
          </w:p>
        </w:tc>
      </w:tr>
    </w:tbl>
    <w:p w:rsidR="007841DF" w:rsidRDefault="007841DF">
      <w:pPr>
        <w:pStyle w:val="ConsPlusNormal"/>
        <w:jc w:val="both"/>
      </w:pPr>
    </w:p>
    <w:p w:rsidR="007841DF" w:rsidRDefault="007841DF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211"/>
        <w:gridCol w:w="1814"/>
        <w:gridCol w:w="1587"/>
        <w:gridCol w:w="830"/>
        <w:gridCol w:w="830"/>
        <w:gridCol w:w="832"/>
      </w:tblGrid>
      <w:tr w:rsidR="007841DF">
        <w:tc>
          <w:tcPr>
            <w:tcW w:w="964" w:type="dxa"/>
          </w:tcPr>
          <w:p w:rsidR="007841DF" w:rsidRDefault="007841D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7841DF" w:rsidRDefault="007841DF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7841DF" w:rsidRDefault="007841DF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4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830" w:type="dxa"/>
          </w:tcPr>
          <w:p w:rsidR="007841DF" w:rsidRDefault="007841D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30" w:type="dxa"/>
          </w:tcPr>
          <w:p w:rsidR="007841DF" w:rsidRDefault="007841DF">
            <w:pPr>
              <w:pStyle w:val="ConsPlusNormal"/>
              <w:jc w:val="center"/>
            </w:pPr>
            <w:r>
              <w:t xml:space="preserve">ССД </w:t>
            </w:r>
            <w:hyperlink w:anchor="P44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32" w:type="dxa"/>
          </w:tcPr>
          <w:p w:rsidR="007841DF" w:rsidRDefault="007841DF">
            <w:pPr>
              <w:pStyle w:val="ConsPlusNormal"/>
              <w:jc w:val="center"/>
            </w:pPr>
            <w:r>
              <w:t xml:space="preserve">СКД </w:t>
            </w:r>
            <w:hyperlink w:anchor="P447">
              <w:r>
                <w:rPr>
                  <w:color w:val="0000FF"/>
                </w:rPr>
                <w:t>&lt;5&gt;</w:t>
              </w:r>
            </w:hyperlink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C05CX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Другие препараты, снижающие проницаемость капилляров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50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J06AA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Е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3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lastRenderedPageBreak/>
              <w:t>S01AA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Гентамицин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Тетрациклин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6 000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Тобрамицин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S01AE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Левофлоксацин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Ломефлоксацин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S01AX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Другие противомикробные препараты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Бензилдиметил-миристоиламино-пропиламмоний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Пиклоксидин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S01BA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Кортикостероиды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Дексаметазон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1,5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S01BC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Диклофенак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2,6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S01EA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Симпатомиметики для лечения глаукомы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Бримонидин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2,1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S01EC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Дорзоламид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2,1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S01FA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Тропикамид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0,5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S01XA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Гипромеллоза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10,4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Гликозаминоглик</w:t>
            </w:r>
            <w:r>
              <w:lastRenderedPageBreak/>
              <w:t>аны сульфатированные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10,4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Декспантенол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31 200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Солкосерил (ТН)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23 400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  <w:r>
              <w:t>S03AA</w:t>
            </w: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</w:pP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Офлоксацин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  <w:tr w:rsidR="007841DF">
        <w:tc>
          <w:tcPr>
            <w:tcW w:w="964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841DF" w:rsidRDefault="007841D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841DF" w:rsidRDefault="007841DF">
            <w:pPr>
              <w:pStyle w:val="ConsPlusNormal"/>
            </w:pPr>
            <w:r>
              <w:t>Ципрофлоксацин</w:t>
            </w:r>
          </w:p>
        </w:tc>
        <w:tc>
          <w:tcPr>
            <w:tcW w:w="1587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30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32" w:type="dxa"/>
            <w:vAlign w:val="center"/>
          </w:tcPr>
          <w:p w:rsidR="007841DF" w:rsidRDefault="007841DF">
            <w:pPr>
              <w:pStyle w:val="ConsPlusNormal"/>
              <w:jc w:val="center"/>
            </w:pPr>
            <w:r>
              <w:t>4</w:t>
            </w:r>
          </w:p>
        </w:tc>
      </w:tr>
    </w:tbl>
    <w:p w:rsidR="007841DF" w:rsidRDefault="007841DF">
      <w:pPr>
        <w:pStyle w:val="ConsPlusNormal"/>
        <w:jc w:val="both"/>
      </w:pPr>
    </w:p>
    <w:p w:rsidR="007841DF" w:rsidRDefault="007841DF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841DF" w:rsidRDefault="007841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871"/>
        <w:gridCol w:w="1474"/>
      </w:tblGrid>
      <w:tr w:rsidR="007841DF">
        <w:tc>
          <w:tcPr>
            <w:tcW w:w="9071" w:type="dxa"/>
            <w:gridSpan w:val="3"/>
          </w:tcPr>
          <w:p w:rsidR="007841DF" w:rsidRDefault="007841DF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7841DF">
        <w:tc>
          <w:tcPr>
            <w:tcW w:w="5726" w:type="dxa"/>
          </w:tcPr>
          <w:p w:rsidR="007841DF" w:rsidRDefault="007841DF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871" w:type="dxa"/>
          </w:tcPr>
          <w:p w:rsidR="007841DF" w:rsidRDefault="007841D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7841DF" w:rsidRDefault="007841D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841DF">
        <w:tc>
          <w:tcPr>
            <w:tcW w:w="5726" w:type="dxa"/>
            <w:vAlign w:val="center"/>
          </w:tcPr>
          <w:p w:rsidR="007841DF" w:rsidRDefault="007841DF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1871" w:type="dxa"/>
            <w:vAlign w:val="bottom"/>
          </w:tcPr>
          <w:p w:rsidR="007841DF" w:rsidRDefault="007841DF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  <w:vAlign w:val="bottom"/>
          </w:tcPr>
          <w:p w:rsidR="007841DF" w:rsidRDefault="007841DF">
            <w:pPr>
              <w:pStyle w:val="ConsPlusNormal"/>
              <w:jc w:val="center"/>
            </w:pPr>
            <w:r>
              <w:t>11</w:t>
            </w:r>
          </w:p>
        </w:tc>
      </w:tr>
    </w:tbl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ind w:firstLine="540"/>
        <w:jc w:val="both"/>
      </w:pPr>
      <w:r>
        <w:t>--------------------------------</w:t>
      </w:r>
    </w:p>
    <w:p w:rsidR="007841DF" w:rsidRDefault="007841DF">
      <w:pPr>
        <w:pStyle w:val="ConsPlusNormal"/>
        <w:spacing w:before="220"/>
        <w:ind w:firstLine="540"/>
        <w:jc w:val="both"/>
      </w:pPr>
      <w:bookmarkStart w:id="1" w:name="P443"/>
      <w:bookmarkEnd w:id="1"/>
      <w:r>
        <w:t xml:space="preserve">&lt;1&gt; Международная статистическая </w:t>
      </w:r>
      <w:hyperlink r:id="rId3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841DF" w:rsidRDefault="007841DF">
      <w:pPr>
        <w:pStyle w:val="ConsPlusNormal"/>
        <w:spacing w:before="220"/>
        <w:ind w:firstLine="540"/>
        <w:jc w:val="both"/>
      </w:pPr>
      <w:bookmarkStart w:id="2" w:name="P444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841DF" w:rsidRDefault="007841DF">
      <w:pPr>
        <w:pStyle w:val="ConsPlusNormal"/>
        <w:spacing w:before="220"/>
        <w:ind w:firstLine="540"/>
        <w:jc w:val="both"/>
      </w:pPr>
      <w:bookmarkStart w:id="3" w:name="P445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7841DF" w:rsidRDefault="007841DF">
      <w:pPr>
        <w:pStyle w:val="ConsPlusNormal"/>
        <w:spacing w:before="220"/>
        <w:ind w:firstLine="540"/>
        <w:jc w:val="both"/>
      </w:pPr>
      <w:bookmarkStart w:id="4" w:name="P446"/>
      <w:bookmarkEnd w:id="4"/>
      <w:r>
        <w:t>&lt;4&gt; Средняя суточная доза.</w:t>
      </w:r>
    </w:p>
    <w:p w:rsidR="007841DF" w:rsidRDefault="007841DF">
      <w:pPr>
        <w:pStyle w:val="ConsPlusNormal"/>
        <w:spacing w:before="220"/>
        <w:ind w:firstLine="540"/>
        <w:jc w:val="both"/>
      </w:pPr>
      <w:bookmarkStart w:id="5" w:name="P447"/>
      <w:bookmarkEnd w:id="5"/>
      <w:r>
        <w:t>&lt;5&gt; Средняя курсовая доза.</w:t>
      </w: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jc w:val="both"/>
      </w:pPr>
    </w:p>
    <w:p w:rsidR="007841DF" w:rsidRDefault="007841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263" w:rsidRDefault="00ED4263">
      <w:bookmarkStart w:id="6" w:name="_GoBack"/>
      <w:bookmarkEnd w:id="6"/>
    </w:p>
    <w:sectPr w:rsidR="00ED4263" w:rsidSect="0026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DF"/>
    <w:rsid w:val="007841DF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4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41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41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41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316CC03F0694FF9E7C33B06D99A579FB55FC9B569FAEC75AF62EE15E70D071CC76EE46E154A1DBF19D54460B2AEE4B432748D5C67209CAh4m8G" TargetMode="External"/><Relationship Id="rId18" Type="http://schemas.openxmlformats.org/officeDocument/2006/relationships/hyperlink" Target="consultantplus://offline/ref=7B316CC03F0694FF9E7C33B06D99A579FB55FC9B569FAEC75AF62EE15E70D071CC76EE46E154A1DBF19D54460B2AEE4B432748D5C67209CAh4m8G" TargetMode="External"/><Relationship Id="rId26" Type="http://schemas.openxmlformats.org/officeDocument/2006/relationships/hyperlink" Target="consultantplus://offline/ref=7B316CC03F0694FF9E7C33B06D99A579FB55FC9B569FAEC75AF62EE15E70D071CC76EE46E152AFD3F49D54460B2AEE4B432748D5C67209CAh4m8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B316CC03F0694FF9E7C33B06D99A579FB55FC9B569FAEC75AF62EE15E70D071CC76EE46E155A5D6F39D54460B2AEE4B432748D5C67209CAh4m8G" TargetMode="External"/><Relationship Id="rId34" Type="http://schemas.openxmlformats.org/officeDocument/2006/relationships/hyperlink" Target="consultantplus://offline/ref=7B316CC03F0694FF9E7C33B06D99A579FB55FC9B569FAEC75AF62EE15E70D071CC76EE46E055AED0F89D54460B2AEE4B432748D5C67209CAh4m8G" TargetMode="External"/><Relationship Id="rId7" Type="http://schemas.openxmlformats.org/officeDocument/2006/relationships/hyperlink" Target="consultantplus://offline/ref=7B316CC03F0694FF9E7C33B06D99A579FC50F59F5491AEC75AF62EE15E70D071CC76EE46E154A6D0F79D54460B2AEE4B432748D5C67209CAh4m8G" TargetMode="External"/><Relationship Id="rId12" Type="http://schemas.openxmlformats.org/officeDocument/2006/relationships/hyperlink" Target="consultantplus://offline/ref=7B316CC03F0694FF9E7C33B06D99A579FB55FC9B569FAEC75AF62EE15E70D071CC76EE46E154A1D4F59D54460B2AEE4B432748D5C67209CAh4m8G" TargetMode="External"/><Relationship Id="rId17" Type="http://schemas.openxmlformats.org/officeDocument/2006/relationships/hyperlink" Target="consultantplus://offline/ref=7B316CC03F0694FF9E7C33B06D99A579FB55FC9B569FAEC75AF62EE15E70D071CC76EE46E154A1D4F59D54460B2AEE4B432748D5C67209CAh4m8G" TargetMode="External"/><Relationship Id="rId25" Type="http://schemas.openxmlformats.org/officeDocument/2006/relationships/hyperlink" Target="consultantplus://offline/ref=7B316CC03F0694FF9E7C33B06D99A579FB55FC9B569FAEC75AF62EE15E70D071CC76EE46E152AED6F49D54460B2AEE4B432748D5C67209CAh4m8G" TargetMode="External"/><Relationship Id="rId33" Type="http://schemas.openxmlformats.org/officeDocument/2006/relationships/hyperlink" Target="consultantplus://offline/ref=7B316CC03F0694FF9E7C33B06D99A579FB55FC9B569FAEC75AF62EE15E70D071CC76EE46E055AED0F49D54460B2AEE4B432748D5C67209CAh4m8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316CC03F0694FF9E7C33B06D99A579FB55FC9B569FAEC75AF62EE15E70D071CC76EE46E354A0D5F99D54460B2AEE4B432748D5C67209CAh4m8G" TargetMode="External"/><Relationship Id="rId20" Type="http://schemas.openxmlformats.org/officeDocument/2006/relationships/hyperlink" Target="consultantplus://offline/ref=7B316CC03F0694FF9E7C33B06D99A579FB55FC9B569FAEC75AF62EE15E70D071CC76EE46E155A6D1F79D54460B2AEE4B432748D5C67209CAh4m8G" TargetMode="External"/><Relationship Id="rId29" Type="http://schemas.openxmlformats.org/officeDocument/2006/relationships/hyperlink" Target="consultantplus://offline/ref=7B316CC03F0694FF9E7C33B06D99A579FB55FC9B569FAEC75AF62EE15E70D071CC76EE46E055A1D5F49D54460B2AEE4B432748D5C67209CAh4m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16CC03F0694FF9E7C33B06D99A579FC56F49A5191AEC75AF62EE15E70D071CC76EE44E452AD87A0D2551A4E76FD4A4D274AD2DAh7m3G" TargetMode="External"/><Relationship Id="rId11" Type="http://schemas.openxmlformats.org/officeDocument/2006/relationships/hyperlink" Target="consultantplus://offline/ref=7B316CC03F0694FF9E7C33B06D99A579FB55FC9B569FAEC75AF62EE15E70D071CC76EE46E05DA3D7F19D54460B2AEE4B432748D5C67209CAh4m8G" TargetMode="External"/><Relationship Id="rId24" Type="http://schemas.openxmlformats.org/officeDocument/2006/relationships/hyperlink" Target="consultantplus://offline/ref=7B316CC03F0694FF9E7C33B06D99A579FB55FC9B569FAEC75AF62EE15E70D071CC76EE46E155A0DBF39D54460B2AEE4B432748D5C67209CAh4m8G" TargetMode="External"/><Relationship Id="rId32" Type="http://schemas.openxmlformats.org/officeDocument/2006/relationships/hyperlink" Target="consultantplus://offline/ref=7B316CC03F0694FF9E7C33B06D99A579FB55FC9B569FAEC75AF62EE15E70D071CC76EE46E055AED1F69D54460B2AEE4B432748D5C67209CAh4m8G" TargetMode="External"/><Relationship Id="rId37" Type="http://schemas.openxmlformats.org/officeDocument/2006/relationships/hyperlink" Target="consultantplus://offline/ref=7B316CC03F0694FF9E7C24B27FF8F02AF555FB9C5E9DA49A50FE77ED5C77DF2EDB63A712EC55AFCDF1911E154F7DhEm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316CC03F0694FF9E7C33B06D99A579FB55FC9B569FAEC75AF62EE15E70D071CC76EE46E05DA3D7F99D54460B2AEE4B432748D5C67209CAh4m8G" TargetMode="External"/><Relationship Id="rId23" Type="http://schemas.openxmlformats.org/officeDocument/2006/relationships/hyperlink" Target="consultantplus://offline/ref=7B316CC03F0694FF9E7C33B06D99A579FB55FC9B569FAEC75AF62EE15E70D071CC76EE46E155A0D4F19D54460B2AEE4B432748D5C67209CAh4m8G" TargetMode="External"/><Relationship Id="rId28" Type="http://schemas.openxmlformats.org/officeDocument/2006/relationships/hyperlink" Target="consultantplus://offline/ref=7B316CC03F0694FF9E7C33B06D99A579FB55FC9B569FAEC75AF62EE15E70D071CC76EE46E055A1D0F89D54460B2AEE4B432748D5C67209CAh4m8G" TargetMode="External"/><Relationship Id="rId36" Type="http://schemas.openxmlformats.org/officeDocument/2006/relationships/hyperlink" Target="consultantplus://offline/ref=7B316CC03F0694FF9E7C33B06D99A579FB55FC9B569FAEC75AF62EE15E70D071CC76EE46E151A0D4F09D54460B2AEE4B432748D5C67209CAh4m8G" TargetMode="External"/><Relationship Id="rId10" Type="http://schemas.openxmlformats.org/officeDocument/2006/relationships/hyperlink" Target="consultantplus://offline/ref=7B316CC03F0694FF9E7C24B27FF8F02AF555FE9E5E90A49A50FE77ED5C77DF2EDB71A74AE055AFD1F3920B431E3BB6474B3056D2DF6E0BC849hAmFG" TargetMode="External"/><Relationship Id="rId19" Type="http://schemas.openxmlformats.org/officeDocument/2006/relationships/hyperlink" Target="consultantplus://offline/ref=7B316CC03F0694FF9E7C33B06D99A579FB55FC9B569FAEC75AF62EE15E70D071CC76EE46E154A1DBF59D54460B2AEE4B432748D5C67209CAh4m8G" TargetMode="External"/><Relationship Id="rId31" Type="http://schemas.openxmlformats.org/officeDocument/2006/relationships/hyperlink" Target="consultantplus://offline/ref=7B316CC03F0694FF9E7C33B06D99A579FB55FC9B569FAEC75AF62EE15E70D071CC76EE46E055AED2F89D54460B2AEE4B432748D5C67209CAh4m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16CC03F0694FF9E7C24B27FF8F02AF555FB9C5E9DA49A50FE77ED5C77DF2EDB63A712EC55AFCDF1911E154F7DhEm0G" TargetMode="External"/><Relationship Id="rId14" Type="http://schemas.openxmlformats.org/officeDocument/2006/relationships/hyperlink" Target="consultantplus://offline/ref=7B316CC03F0694FF9E7C33B06D99A579FB55FC9B569FAEC75AF62EE15E70D071CC76EE46E05DA3D7F39D54460B2AEE4B432748D5C67209CAh4m8G" TargetMode="External"/><Relationship Id="rId22" Type="http://schemas.openxmlformats.org/officeDocument/2006/relationships/hyperlink" Target="consultantplus://offline/ref=7B316CC03F0694FF9E7C33B06D99A579FB55FC9B569FAEC75AF62EE15E70D071CC76EE46E155A5D5F39D54460B2AEE4B432748D5C67209CAh4m8G" TargetMode="External"/><Relationship Id="rId27" Type="http://schemas.openxmlformats.org/officeDocument/2006/relationships/hyperlink" Target="consultantplus://offline/ref=7B316CC03F0694FF9E7C33B06D99A579FB55FC9B569FAEC75AF62EE15E70D071CC76EE46E152AFD3F89D54460B2AEE4B432748D5C67209CAh4m8G" TargetMode="External"/><Relationship Id="rId30" Type="http://schemas.openxmlformats.org/officeDocument/2006/relationships/hyperlink" Target="consultantplus://offline/ref=7B316CC03F0694FF9E7C33B06D99A579FB55FC9B569FAEC75AF62EE15E70D071CC76EE46E055A1DAF89D54460B2AEE4B432748D5C67209CAh4m8G" TargetMode="External"/><Relationship Id="rId35" Type="http://schemas.openxmlformats.org/officeDocument/2006/relationships/hyperlink" Target="consultantplus://offline/ref=7B316CC03F0694FF9E7C33B06D99A579FB55FC9B569FAEC75AF62EE15E70D071CC76EE46E056A6D3F69D54460B2AEE4B432748D5C67209CAh4m8G" TargetMode="External"/><Relationship Id="rId8" Type="http://schemas.openxmlformats.org/officeDocument/2006/relationships/hyperlink" Target="consultantplus://offline/ref=7B316CC03F0694FF9E7C33B06D99A579F956F89F519AAEC75AF62EE15E70D071DE76B64AE05DB8D3F68802174Dh7m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2023-07-19T06:38:00Z</dcterms:created>
  <dcterms:modified xsi:type="dcterms:W3CDTF">2023-07-19T06:40:00Z</dcterms:modified>
</cp:coreProperties>
</file>